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600"/>
        <w:jc w:val="center"/>
      </w:pPr>
      <w:r>
        <w:rPr>
          <w:b/>
          <w:bCs/>
          <w:color w:val="1A1A1A"/>
          <w:sz w:val="44"/>
          <w:szCs w:val="44"/>
        </w:rPr>
        <w:t xml:space="preserve">Keryx Design</w:t>
      </w:r>
    </w:p>
    <w:p>
      <w:pPr>
        <w:spacing w:after="360"/>
        <w:jc w:val="center"/>
      </w:pPr>
      <w:r>
        <w:rPr>
          <w:b/>
          <w:bCs/>
          <w:color w:val="B8860B"/>
          <w:sz w:val="30"/>
          <w:szCs w:val="30"/>
        </w:rPr>
        <w:t xml:space="preserve">Guida fiscale per il commercialista</w:t>
      </w:r>
    </w:p>
    <w:p>
      <w:pPr>
        <w:spacing w:after="480"/>
        <w:jc w:val="center"/>
      </w:pPr>
      <w:r>
        <w:rPr>
          <w:i/>
          <w:iCs/>
          <w:sz w:val="22"/>
          <w:szCs w:val="22"/>
        </w:rPr>
        <w:t xml:space="preserve">Come gestire le fatture Keryx Design (Albania) in contabilita italiana</w:t>
      </w:r>
    </w:p>
    <w:p>
      <w:pPr>
        <w:pBdr>
          <w:bottom w:val="single" w:color="B8860B" w:sz="6" w:space="8"/>
        </w:pBdr>
        <w:spacing w:after="240" w:before="240"/>
      </w:pPr>
    </w:p>
    <w:p>
      <w:pPr>
        <w:pStyle w:val="Heading2"/>
      </w:pPr>
      <w:r>
        <w:t xml:space="preserve">A chi e' indirizzato questo documento</w:t>
      </w:r>
    </w:p>
    <w:p>
      <w:pPr>
        <w:spacing w:after="120" w:line="300"/>
        <w:jc w:val="both"/>
      </w:pPr>
      <w:r>
        <w:t xml:space="preserve">Questa guida e' rivolta al commercialista (o al responsabile amministrativo) del cliente italiano che riceve fattura da Keryx Design. E' un documento tecnico: 2-3 minuti di lettura, riferimenti normativi completi, procedura operativa passo-passo.</w:t>
      </w:r>
    </w:p>
    <w:p>
      <w:pPr>
        <w:spacing w:after="120" w:line="300"/>
        <w:jc w:val="both"/>
      </w:pPr>
      <w:r>
        <w:t xml:space="preserve">Il cliente Keryx puo stampare questo documento e consegnarlo direttamente al proprio commercialista, senza ulteriori spiegazioni. La procedura descritta e' la stessa di qualsiasi fornitore extra-UE (UK post-Brexit, USA, Svizzera, ecc.).</w:t>
      </w:r>
    </w:p>
    <w:p>
      <w:pPr>
        <w:pStyle w:val="Heading2"/>
      </w:pPr>
      <w:r>
        <w:t xml:space="preserve">Dati del fornitore</w:t>
      </w:r>
    </w:p>
    <w:p>
      <w:pPr>
        <w:spacing w:after="120" w:line="300"/>
        <w:jc w:val="left"/>
      </w:pPr>
      <w:r>
        <w:t xml:space="preserve">Ragione sociale / Intestazione: Davide Filippini, operante come Keryx Design</w:t>
      </w:r>
    </w:p>
    <w:p>
      <w:pPr>
        <w:spacing w:after="120" w:line="300"/>
        <w:jc w:val="left"/>
      </w:pPr>
      <w:r>
        <w:t xml:space="preserve">Sede: Tirana, Albania</w:t>
      </w:r>
    </w:p>
    <w:p>
      <w:pPr>
        <w:spacing w:after="120" w:line="300"/>
        <w:jc w:val="left"/>
      </w:pPr>
      <w:r>
        <w:t xml:space="preserve">NIPT (codice fiscale albanese, equivalente alla PIVA italiana): M26525203S</w:t>
      </w:r>
    </w:p>
    <w:p>
      <w:pPr>
        <w:spacing w:after="120" w:line="300"/>
        <w:jc w:val="left"/>
      </w:pPr>
      <w:r>
        <w:t xml:space="preserve">Email: info@keryxdesign.com</w:t>
      </w:r>
    </w:p>
    <w:p>
      <w:pPr>
        <w:spacing w:after="120" w:line="300"/>
        <w:jc w:val="left"/>
      </w:pPr>
      <w:r>
        <w:t xml:space="preserve">Sito web: keryxdesign.com</w:t>
      </w:r>
    </w:p>
    <w:p>
      <w:pPr>
        <w:pStyle w:val="Heading2"/>
      </w:pPr>
      <w:r>
        <w:t xml:space="preserve">Qualificazione dell'operazione ai fini IVA</w:t>
      </w:r>
    </w:p>
    <w:p>
      <w:pPr>
        <w:pStyle w:val="Heading3"/>
      </w:pPr>
      <w:r>
        <w:t xml:space="preserve">1. Natura dell'operazione</w:t>
      </w:r>
    </w:p>
    <w:p>
      <w:pPr>
        <w:spacing w:after="120" w:line="300"/>
        <w:jc w:val="both"/>
      </w:pPr>
      <w:r>
        <w:t xml:space="preserve">Prestazione di servizi B2B da soggetto stabilito in Paese extra-UE (Albania) verso committente italiano soggetto passivo IVA.</w:t>
      </w:r>
    </w:p>
    <w:p>
      <w:pPr>
        <w:pStyle w:val="Heading3"/>
      </w:pPr>
      <w:r>
        <w:t xml:space="preserve">2. Luogo di tassazione IVA</w:t>
      </w:r>
    </w:p>
    <w:p>
      <w:pPr>
        <w:spacing w:after="120" w:line="300"/>
        <w:jc w:val="both"/>
      </w:pPr>
      <w:r>
        <w:t xml:space="preserve">Ai sensi dell'art. 7-ter DPR 633/72, i servizi B2B generici si considerano effettuati nel territorio dello Stato del committente. Pertanto l'operazione e' rilevante ai fini IVA in Italia, non in Albania.</w:t>
      </w:r>
    </w:p>
    <w:p>
      <w:pPr>
        <w:pStyle w:val="Heading3"/>
      </w:pPr>
      <w:r>
        <w:t xml:space="preserve">3. Adempimento a carico del cliente italiano</w:t>
      </w:r>
    </w:p>
    <w:p>
      <w:pPr>
        <w:spacing w:after="120" w:line="300"/>
        <w:jc w:val="both"/>
      </w:pPr>
      <w:r>
        <w:t xml:space="preserve">Il cliente italiano, in qualita di debitore d'imposta, emette autofattura ex art. 17 comma 6 DPR 633/72 (reverse charge esterno) applicando l'aliquota IVA italiana del 22% (aliquota ordinaria per servizi professionali).</w:t>
      </w:r>
    </w:p>
    <w:p>
      <w:pPr>
        <w:pStyle w:val="Heading2"/>
      </w:pPr>
      <w:r>
        <w:t xml:space="preserve">Procedura operativa passo-passo</w:t>
      </w:r>
    </w:p>
    <w:p>
      <w:pPr>
        <w:pStyle w:val="Heading3"/>
      </w:pPr>
      <w:r>
        <w:t xml:space="preserve">Passo 1: Ricezione fattura da Keryx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Keryx emette fattura secondo normativa albanese (con NIPT).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La fattura Keryx NON riporta IVA italiana (correttamente, perche' Keryx non e' soggetto passivo IVA in Italia).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La fattura riporta importo in EUR e descrizione dei servizi professionali prestati.</w:t>
      </w:r>
    </w:p>
    <w:p>
      <w:pPr>
        <w:pStyle w:val="Heading3"/>
      </w:pPr>
      <w:r>
        <w:t xml:space="preserve">Passo 2: Emissione autofattura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Il cliente italiano emette autofattura (TD17 per servizi ricevuti da non residente extra-UE ai sensi dell'art. 17 comma 6).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deve essere emessa entro il 15 del mese successivo a quello di effettuazione dell'operazione.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Sulla fattura ricevuta da Keryx si applica aliquota IVA del 22%.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viene trasmessa via SDI (Sistema di Interscambio) al proprio cassetto fiscale.</w:t>
      </w:r>
    </w:p>
    <w:p>
      <w:pPr>
        <w:pStyle w:val="Heading3"/>
      </w:pPr>
      <w:r>
        <w:t xml:space="preserve">Passo 3: Registrazione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L'autofattura viene annotata sia nel registro delle fatture emesse (art. 23 DPR 633/72) sia nel registro degli acquisti (art. 25 DPR 633/72), ai fini della neutralita dell'operazione.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L'IVA e' simultaneamente a debito e a credito, quindi il saldo fiscale per il cliente e' neutro (salvo limitazioni alla detrazione specifiche dell'attivita del cliente).</w:t>
      </w:r>
    </w:p>
    <w:p>
      <w:pPr>
        <w:pStyle w:val="Heading3"/>
      </w:pPr>
      <w:r>
        <w:t xml:space="preserve">Passo 4: Esterometro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L'operazione viene comunicata tramite Esterometro, gia integrato nel flusso di fatturazione elettronica dallo SDI dal 1 luglio 2022.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Non e' prevista comunicazione Intrastat in quanto Albania e' paese extra-UE.</w:t>
      </w:r>
    </w:p>
    <w:p>
      <w:pPr>
        <w:pStyle w:val="Heading2"/>
      </w:pPr>
      <w:r>
        <w:t xml:space="preserve">Esempio pratico</w:t>
      </w:r>
    </w:p>
    <w:p>
      <w:pPr>
        <w:spacing w:after="120" w:line="300"/>
        <w:jc w:val="both"/>
      </w:pPr>
      <w:r>
        <w:t xml:space="preserve">Fattura Keryx Design: 5.000,00 EUR per servizio di progettazione grafica (Direct Response Design) erogato a [nome cliente]. Fattura n. YYYY/NNN del [data]. NIPT Keryx: M26525203S.</w:t>
      </w:r>
    </w:p>
    <w:p>
      <w:pPr>
        <w:spacing w:after="120" w:line="300"/>
        <w:jc w:val="both"/>
      </w:pPr>
      <w:r>
        <w:rPr>
          <w:b/>
          <w:bCs/>
        </w:rPr>
        <w:t xml:space="preserve">Autofattura emessa dal cliente italiano: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Tipologia: TD17 (acquisto servizi da non residente)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Imponibile: 5.000,00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22%: 1.100,00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Totale autofattura: 6.100,00 EUR (importo ai soli fini contabili, non corrisponde a pagamento)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Esigibilita IVA: immediata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Riferimento normativo nel campo note: “Autofattura ex art. 17 c. 6 DPR 633/72 - Servizio ricevuto da soggetto extra-UE”</w:t>
      </w:r>
    </w:p>
    <w:p>
      <w:pPr>
        <w:spacing w:after="120" w:line="300"/>
        <w:jc w:val="both"/>
      </w:pPr>
      <w:r>
        <w:rPr>
          <w:b/>
          <w:bCs/>
        </w:rPr>
        <w:t xml:space="preserve">Risultato contabile per il cliente: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Costo operativo: 5.000,00 EUR (imponibile)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a debito: 1.100,00 EUR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IVA a credito: 1.100,00 EUR (detraibile salvo limitazioni pro-rata o settoriali)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Saldo IVA dell'operazione: zero (in assenza di limitazioni)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Esborso finanziario effettivo verso Keryx: 5.000,00 EUR (importo fattura originale)</w:t>
      </w:r>
    </w:p>
    <w:p>
      <w:pPr>
        <w:pStyle w:val="Heading2"/>
      </w:pPr>
      <w:r>
        <w:t xml:space="preserve">Note importanti</w:t>
      </w:r>
    </w:p>
    <w:p>
      <w:pPr>
        <w:pStyle w:val="Heading3"/>
      </w:pPr>
      <w:r>
        <w:t xml:space="preserve">Ritenuta d'acconto</w:t>
      </w:r>
    </w:p>
    <w:p>
      <w:pPr>
        <w:spacing w:after="120" w:line="300"/>
        <w:jc w:val="both"/>
      </w:pPr>
      <w:r>
        <w:t xml:space="preserve">L'operazione NON e' soggetta a ritenuta d'acconto IRPEF italiana in quanto Keryx non e' soggetto fiscale italiano e non opera con stabile organizzazione in Italia. La Convenzione Italia-Albania contro le doppie imposizioni (L. 42/1995) prevede la tassazione del reddito professionale esclusivamente nello Stato di residenza del percipiente (Albania), ai sensi dell'art. 14.</w:t>
      </w:r>
    </w:p>
    <w:p>
      <w:pPr>
        <w:pStyle w:val="Heading3"/>
      </w:pPr>
      <w:r>
        <w:t xml:space="preserve">Detraibilita IVA</w:t>
      </w:r>
    </w:p>
    <w:p>
      <w:pPr>
        <w:spacing w:after="120" w:line="300"/>
        <w:jc w:val="both"/>
      </w:pPr>
      <w:r>
        <w:t xml:space="preserve">L'IVA assolta in reverse charge e' detraibile secondo le regole generali applicabili al cliente (pro-rata, indetraibilita oggettiva, settori agevolati, ecc.). Per soggetti in regime forfettario o in regime ordinario senza limitazioni, la detrazione e' piena.</w:t>
      </w:r>
    </w:p>
    <w:p>
      <w:pPr>
        <w:pStyle w:val="Heading3"/>
      </w:pPr>
      <w:r>
        <w:t xml:space="preserve">Pagamento</w:t>
      </w:r>
    </w:p>
    <w:p>
      <w:pPr>
        <w:spacing w:after="120" w:line="300"/>
        <w:jc w:val="both"/>
      </w:pPr>
      <w:r>
        <w:t xml:space="preserve">Il cliente italiano corrisponde a Keryx l'importo indicato in fattura (in EUR), tramite bonifico internazionale secondo le coordinate bancarie fornite da Keryx. Nessuna ritenuta viene operata all'atto del pagamento.</w:t>
      </w:r>
    </w:p>
    <w:p>
      <w:pPr>
        <w:pStyle w:val="Heading3"/>
      </w:pPr>
      <w:r>
        <w:t xml:space="preserve">Documentazione da conservare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Fattura originale Keryx (PDF)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Autofattura emessa dal cliente (copia XML SDI o PDF)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Prova del bonifico eseguito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Eventuale contratto o preventivo firmato (come da Condizioni di Lavoro Keryx v1.2)</w:t>
      </w:r>
    </w:p>
    <w:p>
      <w:pPr>
        <w:pStyle w:val="Heading2"/>
      </w:pPr>
      <w:r>
        <w:t xml:space="preserve">Riferimenti normativi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D.P.R. 26 ottobre 1972 n. 633 (Istituzione e disciplina dell'IVA), in particolare: art. 7-ter (luogo tassazione servizi B2B), art. 17 comma 6 (reverse charge esterno), art. 23 (registrazione fatture emesse), art. 25 (registrazione acquisti).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D.Lgs. 5 agosto 2015 n. 127 e modifiche successive (Fatturazione elettronica ed Esterometro integrato dallo SDI).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Legge 21 febbraio 1995 n. 42 (Convenzione Italia-Albania contro le doppie imposizioni in materia di imposte sui redditi).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t xml:space="preserve">Regolamento UE 2016/679 (GDPR) per il trattamento dei dati personali nella relazione contrattuale.</w:t>
      </w:r>
    </w:p>
    <w:p>
      <w:pPr>
        <w:pStyle w:val="Heading2"/>
      </w:pPr>
      <w:r>
        <w:t xml:space="preserve">In caso di dubbi</w:t>
      </w:r>
    </w:p>
    <w:p>
      <w:pPr>
        <w:spacing w:after="120" w:line="300"/>
        <w:jc w:val="both"/>
      </w:pPr>
      <w:r>
        <w:t xml:space="preserve">Questa guida fornisce il quadro normativo generale. Per casi particolari (operazioni straordinarie, attivita in settori con IVA indetraibile, pro-rata specifici), il commercialista del cliente e' il riferimento decisionale.</w:t>
      </w:r>
    </w:p>
    <w:p>
      <w:pPr>
        <w:spacing w:after="120" w:line="300"/>
        <w:jc w:val="both"/>
      </w:pPr>
      <w:r>
        <w:t xml:space="preserve">Keryx Design resta disponibile a fornire la documentazione di supporto (fattura originale, attestazione residenza fiscale albanese se richiesta, copia iscrizione NIPT) via email: info@keryxdesign.com.</w:t>
      </w:r>
    </w:p>
    <w:p>
      <w:pPr>
        <w:pBdr>
          <w:bottom w:val="single" w:color="B8860B" w:sz="6" w:space="8"/>
        </w:pBdr>
        <w:spacing w:after="240" w:before="240"/>
      </w:pPr>
    </w:p>
    <w:p>
      <w:pPr>
        <w:spacing w:after="120" w:line="300"/>
        <w:jc w:val="left"/>
      </w:pPr>
      <w:r>
        <w:rPr>
          <w:b/>
          <w:bCs/>
          <w:i w:val="false"/>
          <w:iCs w:val="false"/>
        </w:rPr>
        <w:t xml:space="preserve">Davide Filippini — Keryx Design</w:t>
      </w:r>
    </w:p>
    <w:p>
      <w:pPr>
        <w:spacing w:after="120" w:line="300"/>
        <w:jc w:val="left"/>
      </w:pPr>
      <w:r>
        <w:rPr>
          <w:b w:val="false"/>
          <w:bCs w:val="false"/>
          <w:i w:val="false"/>
          <w:iCs w:val="false"/>
        </w:rPr>
        <w:t xml:space="preserve">Tirana, Albania — NIPT M26525203S</w:t>
      </w:r>
    </w:p>
    <w:p>
      <w:pPr>
        <w:spacing w:after="120" w:line="300"/>
        <w:jc w:val="left"/>
      </w:pPr>
      <w:r>
        <w:rPr>
          <w:b w:val="false"/>
          <w:bCs w:val="false"/>
          <w:i w:val="false"/>
          <w:iCs w:val="false"/>
        </w:rPr>
        <w:t xml:space="preserve">info@keryxdesign.com — keryxdesign.com</w:t>
      </w:r>
    </w:p>
    <w:p>
      <w:pPr>
        <w:spacing w:after="120" w:line="300"/>
        <w:jc w:val="left"/>
      </w:pPr>
      <w:r>
        <w:rPr>
          <w:b w:val="false"/>
          <w:bCs w:val="false"/>
          <w:i/>
          <w:iCs/>
        </w:rPr>
        <w:t xml:space="preserve">Documento aggiornato al 2026-04-20. Revisione annuale.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Calibri" w:cs="Calibri" w:eastAsia="Calibri" w:hAnsi="Calibri"/>
      <w:b/>
      <w:bCs/>
      <w:color w:val="1A1A1A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80" w:before="300"/>
      <w:outlineLvl w:val="1"/>
    </w:pPr>
    <w:rPr>
      <w:rFonts w:ascii="Calibri" w:cs="Calibri" w:eastAsia="Calibri" w:hAnsi="Calibri"/>
      <w:b/>
      <w:bCs/>
      <w:color w:val="1A1A1A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Calibri" w:cs="Calibri" w:eastAsia="Calibri" w:hAnsi="Calibri"/>
      <w:b/>
      <w:bCs/>
      <w:color w:val="1A1A1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2026-04-20T11:34:23.019Z</dcterms:created>
  <dcterms:modified xsi:type="dcterms:W3CDTF">2026-04-20T11:34:23.020Z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